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AB" w:rsidRPr="006F2B00" w:rsidRDefault="005B3BAB" w:rsidP="005B3BAB">
      <w:pPr>
        <w:rPr>
          <w:b/>
          <w:sz w:val="20"/>
          <w:szCs w:val="20"/>
        </w:rPr>
      </w:pPr>
      <w:r w:rsidRPr="006F2B00">
        <w:rPr>
          <w:b/>
          <w:sz w:val="20"/>
          <w:szCs w:val="20"/>
        </w:rPr>
        <w:t>Sponsored Project Exception Reports</w:t>
      </w:r>
      <w:r w:rsidRPr="006F2B00">
        <w:rPr>
          <w:b/>
          <w:sz w:val="20"/>
          <w:szCs w:val="20"/>
        </w:rPr>
        <w:tab/>
      </w:r>
      <w:r w:rsidRPr="006F2B00">
        <w:rPr>
          <w:b/>
          <w:sz w:val="20"/>
          <w:szCs w:val="20"/>
        </w:rPr>
        <w:tab/>
      </w:r>
      <w:r w:rsidRPr="006F2B00">
        <w:rPr>
          <w:b/>
          <w:sz w:val="20"/>
          <w:szCs w:val="20"/>
        </w:rPr>
        <w:tab/>
      </w:r>
      <w:r w:rsidRPr="006F2B00">
        <w:rPr>
          <w:b/>
          <w:sz w:val="20"/>
          <w:szCs w:val="20"/>
        </w:rPr>
        <w:tab/>
      </w:r>
      <w:r w:rsidRPr="006F2B00">
        <w:rPr>
          <w:b/>
          <w:sz w:val="20"/>
          <w:szCs w:val="20"/>
        </w:rPr>
        <w:tab/>
      </w:r>
      <w:r w:rsidRPr="006F2B00">
        <w:rPr>
          <w:b/>
          <w:sz w:val="20"/>
          <w:szCs w:val="20"/>
        </w:rPr>
        <w:tab/>
      </w:r>
      <w:r w:rsidRPr="006F2B00">
        <w:rPr>
          <w:b/>
          <w:sz w:val="20"/>
          <w:szCs w:val="20"/>
        </w:rPr>
        <w:tab/>
      </w:r>
      <w:r w:rsidRPr="006F2B00">
        <w:rPr>
          <w:b/>
          <w:sz w:val="20"/>
          <w:szCs w:val="20"/>
        </w:rPr>
        <w:tab/>
      </w:r>
    </w:p>
    <w:p w:rsidR="005B3BAB" w:rsidRPr="006F2B00" w:rsidRDefault="005B3BAB" w:rsidP="005B3BAB">
      <w:pPr>
        <w:rPr>
          <w:sz w:val="20"/>
          <w:szCs w:val="20"/>
        </w:rPr>
      </w:pPr>
      <w:r w:rsidRPr="006F2B00">
        <w:rPr>
          <w:sz w:val="20"/>
          <w:szCs w:val="20"/>
        </w:rPr>
        <w:t>These reports are prepared to identify the projects/funds where unit financial managers are to take actions as described below:</w:t>
      </w:r>
    </w:p>
    <w:p w:rsidR="005B3BAB" w:rsidRPr="006F2B00" w:rsidRDefault="005B3BAB" w:rsidP="005B3BAB">
      <w:pPr>
        <w:rPr>
          <w:sz w:val="20"/>
          <w:szCs w:val="20"/>
        </w:rPr>
      </w:pPr>
      <w:r w:rsidRPr="006F2B00">
        <w:rPr>
          <w:sz w:val="20"/>
          <w:szCs w:val="20"/>
        </w:rPr>
        <w:t>1. Over Budget Projects/funds: Charges posted to sponsored projects/funds in excess of the authorized budgets cannot be invoiced to sponsors and must be removed from the project ledgers.</w:t>
      </w:r>
    </w:p>
    <w:p w:rsidR="005B3BAB" w:rsidRPr="006F2B00" w:rsidRDefault="005B3BAB" w:rsidP="005B3BAB">
      <w:pPr>
        <w:rPr>
          <w:sz w:val="20"/>
          <w:szCs w:val="20"/>
        </w:rPr>
      </w:pPr>
      <w:r w:rsidRPr="006F2B00">
        <w:rPr>
          <w:sz w:val="20"/>
          <w:szCs w:val="20"/>
        </w:rPr>
        <w:t>2. Post Term Projects/funds: Charges posted to a sponsored project/fund after the term date typically cannot be invoiced to a sponsor and are therefore considered to be unallowable charges.</w:t>
      </w:r>
    </w:p>
    <w:p w:rsidR="005B3BAB" w:rsidRPr="006F2B00" w:rsidRDefault="005B3BAB" w:rsidP="005B3BAB">
      <w:pPr>
        <w:rPr>
          <w:sz w:val="20"/>
          <w:szCs w:val="20"/>
        </w:rPr>
      </w:pPr>
      <w:r w:rsidRPr="006F2B00">
        <w:rPr>
          <w:sz w:val="20"/>
          <w:szCs w:val="20"/>
        </w:rPr>
        <w:t>As per the requirements of Business &amp; Finance Policy 3.5 “Unbillable Sponsored Costs”, appropriate and timely action (typically within 30-60 days) must be taken to resolve all unbillable amounts, including Over Budget and Post Term Project/fund costs.</w:t>
      </w:r>
    </w:p>
    <w:p w:rsidR="003B0A85" w:rsidRPr="00C24D58" w:rsidRDefault="00BC1721" w:rsidP="005B3BAB">
      <w:pPr>
        <w:rPr>
          <w:sz w:val="20"/>
          <w:szCs w:val="20"/>
        </w:rPr>
      </w:pPr>
      <w:r w:rsidRPr="00C24D58">
        <w:rPr>
          <w:sz w:val="20"/>
          <w:szCs w:val="20"/>
        </w:rPr>
        <w:t>Fixed-price sponsored projects will be closed in accordance with the terms and conditions of the sponsored award agreement and in the same manner as standard cost-reimbursable projects. In accordance with 200.201 (b</w:t>
      </w:r>
      <w:proofErr w:type="gramStart"/>
      <w:r w:rsidRPr="00C24D58">
        <w:rPr>
          <w:sz w:val="20"/>
          <w:szCs w:val="20"/>
        </w:rPr>
        <w:t>)(</w:t>
      </w:r>
      <w:proofErr w:type="gramEnd"/>
      <w:r w:rsidRPr="00C24D58">
        <w:rPr>
          <w:sz w:val="20"/>
          <w:szCs w:val="20"/>
        </w:rPr>
        <w:t>3) of the OMB Uniform Requirements (2 CFR 200), written certification that the project or activity was completed or the level of effort expended must be obtained. If the required level of effort or activity was not carried out, the amount of the award must be adjusted</w:t>
      </w:r>
      <w:r w:rsidR="003B0A85" w:rsidRPr="00C24D58">
        <w:rPr>
          <w:sz w:val="20"/>
          <w:szCs w:val="20"/>
        </w:rPr>
        <w:t>.</w:t>
      </w:r>
      <w:r w:rsidR="00A90CB0" w:rsidRPr="00C24D58">
        <w:rPr>
          <w:sz w:val="20"/>
          <w:szCs w:val="20"/>
        </w:rPr>
        <w:t xml:space="preserve"> The </w:t>
      </w:r>
      <w:r w:rsidR="00BE4FFA" w:rsidRPr="00C24D58">
        <w:rPr>
          <w:sz w:val="20"/>
          <w:szCs w:val="20"/>
        </w:rPr>
        <w:t>PI Fixed Price Close-Out Certification form</w:t>
      </w:r>
      <w:r w:rsidR="00A90CB0" w:rsidRPr="00C24D58">
        <w:rPr>
          <w:sz w:val="20"/>
          <w:szCs w:val="20"/>
        </w:rPr>
        <w:t xml:space="preserve"> must be completed and submitted to G&amp;C within 60 days of the award end date. For additional details, please refer t</w:t>
      </w:r>
      <w:r w:rsidR="006D05C5" w:rsidRPr="00C24D58">
        <w:rPr>
          <w:sz w:val="20"/>
          <w:szCs w:val="20"/>
        </w:rPr>
        <w:t>o</w:t>
      </w:r>
      <w:r w:rsidR="00A90CB0" w:rsidRPr="00C24D58">
        <w:rPr>
          <w:sz w:val="20"/>
          <w:szCs w:val="20"/>
        </w:rPr>
        <w:t xml:space="preserve"> </w:t>
      </w:r>
      <w:hyperlink r:id="rId7" w:history="1">
        <w:r w:rsidR="00A90CB0" w:rsidRPr="00C24D58">
          <w:rPr>
            <w:rStyle w:val="Hyperlink"/>
            <w:sz w:val="20"/>
            <w:szCs w:val="20"/>
          </w:rPr>
          <w:t>G&amp;C policy 3.11</w:t>
        </w:r>
      </w:hyperlink>
      <w:r w:rsidR="00A90CB0" w:rsidRPr="00C24D58">
        <w:rPr>
          <w:sz w:val="20"/>
          <w:szCs w:val="20"/>
        </w:rPr>
        <w:t xml:space="preserve">, </w:t>
      </w:r>
      <w:hyperlink r:id="rId8" w:history="1">
        <w:r w:rsidR="00A90CB0" w:rsidRPr="00C24D58">
          <w:rPr>
            <w:rStyle w:val="Hyperlink"/>
            <w:sz w:val="20"/>
            <w:szCs w:val="20"/>
          </w:rPr>
          <w:t>G&amp;C Notice 16-I</w:t>
        </w:r>
      </w:hyperlink>
      <w:r w:rsidR="00A90CB0" w:rsidRPr="00C24D58">
        <w:rPr>
          <w:sz w:val="20"/>
          <w:szCs w:val="20"/>
        </w:rPr>
        <w:t xml:space="preserve"> and the </w:t>
      </w:r>
      <w:hyperlink r:id="rId9" w:history="1">
        <w:r w:rsidR="006D05C5" w:rsidRPr="00C24D58">
          <w:rPr>
            <w:rStyle w:val="Hyperlink"/>
            <w:sz w:val="20"/>
            <w:szCs w:val="20"/>
          </w:rPr>
          <w:t>PI Fixed Price Close-Out Certification form</w:t>
        </w:r>
      </w:hyperlink>
      <w:r w:rsidR="00A90CB0" w:rsidRPr="00C24D58">
        <w:rPr>
          <w:sz w:val="20"/>
          <w:szCs w:val="20"/>
        </w:rPr>
        <w:t>.</w:t>
      </w:r>
    </w:p>
    <w:p w:rsidR="006D05C5" w:rsidRDefault="006D05C5" w:rsidP="005B3BAB">
      <w:pPr>
        <w:rPr>
          <w:sz w:val="20"/>
          <w:szCs w:val="20"/>
        </w:rPr>
      </w:pPr>
      <w:r>
        <w:rPr>
          <w:sz w:val="20"/>
          <w:szCs w:val="20"/>
        </w:rPr>
        <w:t>Residual funds (if any) remaining on fixed price projects, after certification, will be transferred to a departmental GTRC allocation fund, net of applicable F&amp;A expenses, to be managed by the Chair/Director of the department.</w:t>
      </w:r>
    </w:p>
    <w:p w:rsidR="005B3BAB" w:rsidRPr="006F2B00" w:rsidRDefault="005B3BAB" w:rsidP="005B3BAB">
      <w:pPr>
        <w:rPr>
          <w:sz w:val="20"/>
          <w:szCs w:val="20"/>
        </w:rPr>
      </w:pPr>
      <w:r w:rsidRPr="006F2B00">
        <w:rPr>
          <w:sz w:val="20"/>
          <w:szCs w:val="20"/>
        </w:rPr>
        <w:t>These and other policy statements may be accessed from the Grants &amp; Contracts Accounting web-site: http://www.grants.gatech.edu/admin_policies_and_procedures.php</w:t>
      </w:r>
    </w:p>
    <w:p w:rsidR="005B3BAB" w:rsidRPr="00F23067" w:rsidRDefault="005B3BAB" w:rsidP="005B3BAB">
      <w:pPr>
        <w:rPr>
          <w:sz w:val="20"/>
          <w:szCs w:val="20"/>
        </w:rPr>
      </w:pPr>
      <w:r w:rsidRPr="00F23067">
        <w:rPr>
          <w:sz w:val="20"/>
          <w:szCs w:val="20"/>
        </w:rPr>
        <w:t>Note 1: Th</w:t>
      </w:r>
      <w:r w:rsidR="0026256E" w:rsidRPr="00F23067">
        <w:rPr>
          <w:sz w:val="20"/>
          <w:szCs w:val="20"/>
        </w:rPr>
        <w:t>e</w:t>
      </w:r>
      <w:r w:rsidR="003479E5" w:rsidRPr="00F23067">
        <w:rPr>
          <w:sz w:val="20"/>
          <w:szCs w:val="20"/>
        </w:rPr>
        <w:t xml:space="preserve"> </w:t>
      </w:r>
      <w:r w:rsidR="00DA7B63" w:rsidRPr="00F23067">
        <w:rPr>
          <w:sz w:val="20"/>
          <w:szCs w:val="20"/>
        </w:rPr>
        <w:t>E</w:t>
      </w:r>
      <w:r w:rsidR="003479E5" w:rsidRPr="00F23067">
        <w:rPr>
          <w:sz w:val="20"/>
          <w:szCs w:val="20"/>
        </w:rPr>
        <w:t xml:space="preserve">xception </w:t>
      </w:r>
      <w:r w:rsidR="00DA7B63" w:rsidRPr="00F23067">
        <w:rPr>
          <w:sz w:val="20"/>
          <w:szCs w:val="20"/>
        </w:rPr>
        <w:t>R</w:t>
      </w:r>
      <w:r w:rsidRPr="00F23067">
        <w:rPr>
          <w:sz w:val="20"/>
          <w:szCs w:val="20"/>
        </w:rPr>
        <w:t>eport</w:t>
      </w:r>
      <w:r w:rsidR="0026256E" w:rsidRPr="00F23067">
        <w:rPr>
          <w:sz w:val="20"/>
          <w:szCs w:val="20"/>
        </w:rPr>
        <w:t xml:space="preserve">s </w:t>
      </w:r>
      <w:r w:rsidR="00DA7B63" w:rsidRPr="00F23067">
        <w:rPr>
          <w:sz w:val="20"/>
          <w:szCs w:val="20"/>
        </w:rPr>
        <w:t xml:space="preserve">contain </w:t>
      </w:r>
      <w:r w:rsidR="00BB5F55" w:rsidRPr="00F23067">
        <w:rPr>
          <w:sz w:val="20"/>
          <w:szCs w:val="20"/>
        </w:rPr>
        <w:t xml:space="preserve">information </w:t>
      </w:r>
      <w:r w:rsidR="00DA7B63" w:rsidRPr="00F23067">
        <w:rPr>
          <w:sz w:val="20"/>
          <w:szCs w:val="20"/>
        </w:rPr>
        <w:t>on non-GTRI awards</w:t>
      </w:r>
      <w:r w:rsidR="00216312" w:rsidRPr="00F23067">
        <w:rPr>
          <w:sz w:val="20"/>
          <w:szCs w:val="20"/>
        </w:rPr>
        <w:t>.</w:t>
      </w:r>
      <w:r w:rsidR="00B7652B" w:rsidRPr="00F23067">
        <w:rPr>
          <w:sz w:val="20"/>
          <w:szCs w:val="20"/>
        </w:rPr>
        <w:t xml:space="preserve"> [See note 3]</w:t>
      </w:r>
      <w:r w:rsidR="00216312" w:rsidRPr="00F23067">
        <w:rPr>
          <w:sz w:val="20"/>
          <w:szCs w:val="20"/>
        </w:rPr>
        <w:t xml:space="preserve">  The Ex</w:t>
      </w:r>
      <w:r w:rsidR="00BB5F55" w:rsidRPr="00F23067">
        <w:rPr>
          <w:sz w:val="20"/>
          <w:szCs w:val="20"/>
        </w:rPr>
        <w:t>ception Reports contain information</w:t>
      </w:r>
      <w:r w:rsidR="00216312" w:rsidRPr="00F23067">
        <w:rPr>
          <w:sz w:val="20"/>
          <w:szCs w:val="20"/>
        </w:rPr>
        <w:t xml:space="preserve"> on awards in which the prime project is active.</w:t>
      </w:r>
    </w:p>
    <w:p w:rsidR="00DA7B63" w:rsidRPr="00F23067" w:rsidRDefault="005B3BAB" w:rsidP="00DA7B63">
      <w:pPr>
        <w:rPr>
          <w:sz w:val="20"/>
          <w:szCs w:val="20"/>
        </w:rPr>
      </w:pPr>
      <w:r w:rsidRPr="00F23067">
        <w:rPr>
          <w:sz w:val="20"/>
          <w:szCs w:val="20"/>
        </w:rPr>
        <w:t xml:space="preserve">Note </w:t>
      </w:r>
      <w:r w:rsidR="003479E5" w:rsidRPr="00F23067">
        <w:rPr>
          <w:sz w:val="20"/>
          <w:szCs w:val="20"/>
        </w:rPr>
        <w:t>2</w:t>
      </w:r>
      <w:r w:rsidR="00F23067" w:rsidRPr="00F23067">
        <w:rPr>
          <w:sz w:val="20"/>
          <w:szCs w:val="20"/>
        </w:rPr>
        <w:t xml:space="preserve">: </w:t>
      </w:r>
      <w:r w:rsidR="00DA7B63" w:rsidRPr="00F23067">
        <w:rPr>
          <w:sz w:val="20"/>
          <w:szCs w:val="20"/>
        </w:rPr>
        <w:t>Encumbrance amounts are excluded from the LTD Gross Balance</w:t>
      </w:r>
      <w:r w:rsidR="00A35513" w:rsidRPr="00F23067">
        <w:rPr>
          <w:sz w:val="20"/>
          <w:szCs w:val="20"/>
        </w:rPr>
        <w:t>,</w:t>
      </w:r>
      <w:r w:rsidR="00DA7B63" w:rsidRPr="00F23067">
        <w:rPr>
          <w:sz w:val="20"/>
          <w:szCs w:val="20"/>
        </w:rPr>
        <w:t xml:space="preserve"> which is used to determine w</w:t>
      </w:r>
      <w:r w:rsidR="00A35513" w:rsidRPr="00F23067">
        <w:rPr>
          <w:sz w:val="20"/>
          <w:szCs w:val="20"/>
        </w:rPr>
        <w:t>hether a project is Over Budget.  (LTD Gross Balance = LTD Budget less LTD Expenses)</w:t>
      </w:r>
    </w:p>
    <w:p w:rsidR="001A3B9E" w:rsidRDefault="00F23067" w:rsidP="001A3B9E">
      <w:pPr>
        <w:rPr>
          <w:sz w:val="20"/>
          <w:szCs w:val="20"/>
        </w:rPr>
      </w:pPr>
      <w:r w:rsidRPr="00F23067">
        <w:rPr>
          <w:sz w:val="20"/>
          <w:szCs w:val="20"/>
        </w:rPr>
        <w:t>Note 3: The LTD Gross Balance for the Fund Prime-Project report does include inactive projects as well as GTRI projects.</w:t>
      </w:r>
      <w:r w:rsidR="001A3B9E">
        <w:rPr>
          <w:sz w:val="20"/>
          <w:szCs w:val="20"/>
        </w:rPr>
        <w:t xml:space="preserve">  </w:t>
      </w:r>
      <w:r w:rsidR="001A3B9E" w:rsidRPr="00F23067">
        <w:rPr>
          <w:sz w:val="20"/>
          <w:szCs w:val="20"/>
        </w:rPr>
        <w:t>GIT-administered GTRC funds/ projects are included in the LTD Gross Balance</w:t>
      </w:r>
      <w:r w:rsidR="001A3B9E">
        <w:rPr>
          <w:sz w:val="20"/>
          <w:szCs w:val="20"/>
        </w:rPr>
        <w:t xml:space="preserve">.  </w:t>
      </w:r>
      <w:r w:rsidRPr="00F23067">
        <w:rPr>
          <w:sz w:val="20"/>
          <w:szCs w:val="20"/>
        </w:rPr>
        <w:t>Non-sponsored Cost Sharing and GTF projects are excluded from the LTD Gross Balance.</w:t>
      </w:r>
      <w:r w:rsidR="001A3B9E">
        <w:rPr>
          <w:sz w:val="20"/>
          <w:szCs w:val="20"/>
        </w:rPr>
        <w:t xml:space="preserve">  </w:t>
      </w:r>
      <w:bookmarkStart w:id="0" w:name="_GoBack"/>
      <w:bookmarkEnd w:id="0"/>
    </w:p>
    <w:p w:rsidR="00E12D8C" w:rsidRPr="00F23067" w:rsidRDefault="00165E26" w:rsidP="005B3BAB">
      <w:pPr>
        <w:rPr>
          <w:sz w:val="20"/>
          <w:szCs w:val="20"/>
        </w:rPr>
      </w:pPr>
      <w:r w:rsidRPr="00F23067">
        <w:rPr>
          <w:sz w:val="20"/>
          <w:szCs w:val="20"/>
        </w:rPr>
        <w:t xml:space="preserve">Note </w:t>
      </w:r>
      <w:r w:rsidR="001A3B9E">
        <w:rPr>
          <w:sz w:val="20"/>
          <w:szCs w:val="20"/>
        </w:rPr>
        <w:t>4</w:t>
      </w:r>
      <w:r w:rsidRPr="00F23067">
        <w:rPr>
          <w:sz w:val="20"/>
          <w:szCs w:val="20"/>
        </w:rPr>
        <w:t xml:space="preserve">: </w:t>
      </w:r>
      <w:r w:rsidR="00E12D8C" w:rsidRPr="00F23067">
        <w:rPr>
          <w:sz w:val="20"/>
          <w:szCs w:val="20"/>
        </w:rPr>
        <w:t>The award</w:t>
      </w:r>
      <w:r w:rsidR="005525BF" w:rsidRPr="00F23067">
        <w:rPr>
          <w:sz w:val="20"/>
          <w:szCs w:val="20"/>
        </w:rPr>
        <w:t xml:space="preserve">’s </w:t>
      </w:r>
      <w:r w:rsidR="00E12D8C" w:rsidRPr="00F23067">
        <w:rPr>
          <w:sz w:val="20"/>
          <w:szCs w:val="20"/>
        </w:rPr>
        <w:t xml:space="preserve">prime project expiration date is used to </w:t>
      </w:r>
      <w:r w:rsidR="005525BF" w:rsidRPr="00F23067">
        <w:rPr>
          <w:sz w:val="20"/>
          <w:szCs w:val="20"/>
        </w:rPr>
        <w:t xml:space="preserve">determine if </w:t>
      </w:r>
      <w:r w:rsidR="00E12D8C" w:rsidRPr="00F23067">
        <w:rPr>
          <w:sz w:val="20"/>
          <w:szCs w:val="20"/>
        </w:rPr>
        <w:t xml:space="preserve">a fund </w:t>
      </w:r>
      <w:r w:rsidR="007B0C11">
        <w:rPr>
          <w:sz w:val="20"/>
          <w:szCs w:val="20"/>
        </w:rPr>
        <w:t>ha</w:t>
      </w:r>
      <w:r w:rsidR="00E12D8C" w:rsidRPr="00F23067">
        <w:rPr>
          <w:sz w:val="20"/>
          <w:szCs w:val="20"/>
        </w:rPr>
        <w:t xml:space="preserve">s </w:t>
      </w:r>
      <w:r w:rsidR="007B0C11">
        <w:rPr>
          <w:sz w:val="20"/>
          <w:szCs w:val="20"/>
        </w:rPr>
        <w:t>e</w:t>
      </w:r>
      <w:r w:rsidR="00E12D8C" w:rsidRPr="00F23067">
        <w:rPr>
          <w:sz w:val="20"/>
          <w:szCs w:val="20"/>
        </w:rPr>
        <w:t>xpired</w:t>
      </w:r>
      <w:r w:rsidR="007B0C11">
        <w:rPr>
          <w:sz w:val="20"/>
          <w:szCs w:val="20"/>
        </w:rPr>
        <w:t xml:space="preserve"> </w:t>
      </w:r>
      <w:r w:rsidR="00BE6C7E" w:rsidRPr="00F23067">
        <w:rPr>
          <w:sz w:val="20"/>
          <w:szCs w:val="20"/>
        </w:rPr>
        <w:t>60</w:t>
      </w:r>
      <w:r w:rsidR="007B0C11">
        <w:rPr>
          <w:sz w:val="20"/>
          <w:szCs w:val="20"/>
        </w:rPr>
        <w:t xml:space="preserve"> </w:t>
      </w:r>
      <w:r w:rsidR="00BE6C7E" w:rsidRPr="00F23067">
        <w:rPr>
          <w:sz w:val="20"/>
          <w:szCs w:val="20"/>
        </w:rPr>
        <w:t>days</w:t>
      </w:r>
      <w:r w:rsidR="007B0C11">
        <w:rPr>
          <w:sz w:val="20"/>
          <w:szCs w:val="20"/>
        </w:rPr>
        <w:t>.</w:t>
      </w:r>
      <w:r w:rsidR="00E12D8C" w:rsidRPr="00F23067">
        <w:rPr>
          <w:sz w:val="20"/>
          <w:szCs w:val="20"/>
        </w:rPr>
        <w:t xml:space="preserve">  </w:t>
      </w:r>
      <w:r w:rsidR="0008027B" w:rsidRPr="00F23067">
        <w:rPr>
          <w:sz w:val="20"/>
          <w:szCs w:val="20"/>
        </w:rPr>
        <w:t xml:space="preserve">A fund/project is deemed </w:t>
      </w:r>
      <w:r w:rsidR="005525BF" w:rsidRPr="00F23067">
        <w:rPr>
          <w:sz w:val="20"/>
          <w:szCs w:val="20"/>
        </w:rPr>
        <w:t xml:space="preserve">to be </w:t>
      </w:r>
      <w:r w:rsidR="007B0C11">
        <w:rPr>
          <w:sz w:val="20"/>
          <w:szCs w:val="20"/>
        </w:rPr>
        <w:t>e</w:t>
      </w:r>
      <w:r w:rsidR="0008027B" w:rsidRPr="00F23067">
        <w:rPr>
          <w:sz w:val="20"/>
          <w:szCs w:val="20"/>
        </w:rPr>
        <w:t>xpired</w:t>
      </w:r>
      <w:r w:rsidR="007B0C11">
        <w:rPr>
          <w:sz w:val="20"/>
          <w:szCs w:val="20"/>
        </w:rPr>
        <w:t xml:space="preserve"> </w:t>
      </w:r>
      <w:r w:rsidR="0008027B" w:rsidRPr="00F23067">
        <w:rPr>
          <w:sz w:val="20"/>
          <w:szCs w:val="20"/>
        </w:rPr>
        <w:t>60</w:t>
      </w:r>
      <w:r w:rsidR="007B0C11">
        <w:rPr>
          <w:sz w:val="20"/>
          <w:szCs w:val="20"/>
        </w:rPr>
        <w:t xml:space="preserve"> </w:t>
      </w:r>
      <w:r w:rsidR="0008027B" w:rsidRPr="00F23067">
        <w:rPr>
          <w:sz w:val="20"/>
          <w:szCs w:val="20"/>
        </w:rPr>
        <w:t xml:space="preserve">days if the expiration date recorded in the Grants Management systems at the time the report is prepared predates the first day of the prior month being evaluated.  </w:t>
      </w:r>
    </w:p>
    <w:p w:rsidR="005B3BAB" w:rsidRPr="00F23067" w:rsidRDefault="005B3BAB" w:rsidP="005B3BAB">
      <w:pPr>
        <w:rPr>
          <w:sz w:val="20"/>
          <w:szCs w:val="20"/>
        </w:rPr>
      </w:pPr>
      <w:r w:rsidRPr="00F23067">
        <w:rPr>
          <w:sz w:val="20"/>
          <w:szCs w:val="20"/>
        </w:rPr>
        <w:t xml:space="preserve">Note </w:t>
      </w:r>
      <w:r w:rsidR="001A3B9E">
        <w:rPr>
          <w:sz w:val="20"/>
          <w:szCs w:val="20"/>
        </w:rPr>
        <w:t>5</w:t>
      </w:r>
      <w:r w:rsidRPr="00F23067">
        <w:rPr>
          <w:sz w:val="20"/>
          <w:szCs w:val="20"/>
        </w:rPr>
        <w:t>:</w:t>
      </w:r>
      <w:r w:rsidR="00A97331" w:rsidRPr="00F23067">
        <w:rPr>
          <w:sz w:val="20"/>
          <w:szCs w:val="20"/>
        </w:rPr>
        <w:t xml:space="preserve">  Funds and projects with a LTD Gross Balance greater than $1.00 are not included in Exception Status report even if they are determined to be </w:t>
      </w:r>
      <w:r w:rsidR="00C4658F">
        <w:rPr>
          <w:sz w:val="20"/>
          <w:szCs w:val="20"/>
        </w:rPr>
        <w:t>e</w:t>
      </w:r>
      <w:r w:rsidR="00A97331" w:rsidRPr="00F23067">
        <w:rPr>
          <w:sz w:val="20"/>
          <w:szCs w:val="20"/>
        </w:rPr>
        <w:t>xpired</w:t>
      </w:r>
      <w:r w:rsidR="00C4658F">
        <w:rPr>
          <w:sz w:val="20"/>
          <w:szCs w:val="20"/>
        </w:rPr>
        <w:t xml:space="preserve"> </w:t>
      </w:r>
      <w:r w:rsidR="00A97331" w:rsidRPr="00F23067">
        <w:rPr>
          <w:sz w:val="20"/>
          <w:szCs w:val="20"/>
        </w:rPr>
        <w:t>60</w:t>
      </w:r>
      <w:r w:rsidR="00C4658F">
        <w:rPr>
          <w:sz w:val="20"/>
          <w:szCs w:val="20"/>
        </w:rPr>
        <w:t xml:space="preserve"> </w:t>
      </w:r>
      <w:r w:rsidR="00A97331" w:rsidRPr="00F23067">
        <w:rPr>
          <w:sz w:val="20"/>
          <w:szCs w:val="20"/>
        </w:rPr>
        <w:t>days.</w:t>
      </w:r>
    </w:p>
    <w:p w:rsidR="00F514EA" w:rsidRDefault="00BE6C7E" w:rsidP="005B3BAB">
      <w:pPr>
        <w:rPr>
          <w:sz w:val="20"/>
          <w:szCs w:val="20"/>
        </w:rPr>
      </w:pPr>
      <w:r w:rsidRPr="00F23067">
        <w:rPr>
          <w:sz w:val="20"/>
          <w:szCs w:val="20"/>
        </w:rPr>
        <w:t xml:space="preserve">Note </w:t>
      </w:r>
      <w:r w:rsidR="00F514EA">
        <w:rPr>
          <w:sz w:val="20"/>
          <w:szCs w:val="20"/>
        </w:rPr>
        <w:t>6</w:t>
      </w:r>
      <w:r w:rsidRPr="00F23067">
        <w:rPr>
          <w:sz w:val="20"/>
          <w:szCs w:val="20"/>
        </w:rPr>
        <w:t xml:space="preserve">: The Sub-project Detail report uses the Project Expiration date </w:t>
      </w:r>
      <w:r w:rsidRPr="00F23067">
        <w:rPr>
          <w:sz w:val="20"/>
          <w:szCs w:val="20"/>
          <w:u w:val="single"/>
        </w:rPr>
        <w:t>of the specified project</w:t>
      </w:r>
      <w:r w:rsidRPr="00F23067">
        <w:rPr>
          <w:sz w:val="20"/>
          <w:szCs w:val="20"/>
        </w:rPr>
        <w:t xml:space="preserve"> and uses the financials </w:t>
      </w:r>
      <w:r w:rsidRPr="00F23067">
        <w:rPr>
          <w:sz w:val="20"/>
          <w:szCs w:val="20"/>
          <w:u w:val="single"/>
        </w:rPr>
        <w:t>of the project itself</w:t>
      </w:r>
      <w:r w:rsidRPr="00F23067">
        <w:rPr>
          <w:sz w:val="20"/>
          <w:szCs w:val="20"/>
        </w:rPr>
        <w:t xml:space="preserve"> for the de</w:t>
      </w:r>
      <w:r w:rsidR="009139EA" w:rsidRPr="00F23067">
        <w:rPr>
          <w:sz w:val="20"/>
          <w:szCs w:val="20"/>
        </w:rPr>
        <w:t xml:space="preserve">termination of Exception Status (contrast to Note </w:t>
      </w:r>
      <w:r w:rsidR="0097188E">
        <w:rPr>
          <w:sz w:val="20"/>
          <w:szCs w:val="20"/>
        </w:rPr>
        <w:t>4</w:t>
      </w:r>
      <w:r w:rsidR="009139EA" w:rsidRPr="00F23067">
        <w:rPr>
          <w:sz w:val="20"/>
          <w:szCs w:val="20"/>
        </w:rPr>
        <w:t>).</w:t>
      </w:r>
    </w:p>
    <w:p w:rsidR="000F5C0C" w:rsidRDefault="000F5C0C" w:rsidP="000F5C0C">
      <w:pPr>
        <w:spacing w:after="0"/>
      </w:pPr>
    </w:p>
    <w:p w:rsidR="000F5C0C" w:rsidRPr="006F2B00" w:rsidRDefault="000F5C0C" w:rsidP="000F5C0C">
      <w:pPr>
        <w:spacing w:after="0"/>
        <w:rPr>
          <w:sz w:val="20"/>
          <w:szCs w:val="20"/>
        </w:rPr>
      </w:pPr>
    </w:p>
    <w:sectPr w:rsidR="000F5C0C" w:rsidRPr="006F2B00" w:rsidSect="00137C7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50" w:rsidRDefault="00A17350" w:rsidP="00A17350">
      <w:pPr>
        <w:spacing w:after="0" w:line="240" w:lineRule="auto"/>
      </w:pPr>
      <w:r>
        <w:separator/>
      </w:r>
    </w:p>
  </w:endnote>
  <w:endnote w:type="continuationSeparator" w:id="0">
    <w:p w:rsidR="00A17350" w:rsidRDefault="00A17350" w:rsidP="00A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50" w:rsidRDefault="00A17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50" w:rsidRDefault="00A17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50" w:rsidRDefault="00A17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50" w:rsidRDefault="00A17350" w:rsidP="00A17350">
      <w:pPr>
        <w:spacing w:after="0" w:line="240" w:lineRule="auto"/>
      </w:pPr>
      <w:r>
        <w:separator/>
      </w:r>
    </w:p>
  </w:footnote>
  <w:footnote w:type="continuationSeparator" w:id="0">
    <w:p w:rsidR="00A17350" w:rsidRDefault="00A17350" w:rsidP="00A17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50" w:rsidRDefault="00A17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50" w:rsidRDefault="00A173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50" w:rsidRDefault="00A17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AB"/>
    <w:rsid w:val="00003E2E"/>
    <w:rsid w:val="00021EF9"/>
    <w:rsid w:val="0008027B"/>
    <w:rsid w:val="000F5C0C"/>
    <w:rsid w:val="00137C74"/>
    <w:rsid w:val="00165E26"/>
    <w:rsid w:val="001A3B9E"/>
    <w:rsid w:val="001E7893"/>
    <w:rsid w:val="00216312"/>
    <w:rsid w:val="0026256E"/>
    <w:rsid w:val="002A7E83"/>
    <w:rsid w:val="003278F4"/>
    <w:rsid w:val="003479E5"/>
    <w:rsid w:val="003B0A85"/>
    <w:rsid w:val="003B306D"/>
    <w:rsid w:val="00523198"/>
    <w:rsid w:val="005525BF"/>
    <w:rsid w:val="005906DA"/>
    <w:rsid w:val="005B3BAB"/>
    <w:rsid w:val="005F06CF"/>
    <w:rsid w:val="005F2D83"/>
    <w:rsid w:val="006D05C5"/>
    <w:rsid w:val="006F2B00"/>
    <w:rsid w:val="0074489A"/>
    <w:rsid w:val="00794A21"/>
    <w:rsid w:val="007B0C11"/>
    <w:rsid w:val="007C5A41"/>
    <w:rsid w:val="0080008B"/>
    <w:rsid w:val="00850BAB"/>
    <w:rsid w:val="008A07EC"/>
    <w:rsid w:val="008D6E67"/>
    <w:rsid w:val="008F03D1"/>
    <w:rsid w:val="008F1327"/>
    <w:rsid w:val="009101D4"/>
    <w:rsid w:val="00912D1B"/>
    <w:rsid w:val="009139EA"/>
    <w:rsid w:val="0097188E"/>
    <w:rsid w:val="009763D6"/>
    <w:rsid w:val="0098330B"/>
    <w:rsid w:val="00A17350"/>
    <w:rsid w:val="00A35513"/>
    <w:rsid w:val="00A90CB0"/>
    <w:rsid w:val="00A97331"/>
    <w:rsid w:val="00B50D4D"/>
    <w:rsid w:val="00B7652B"/>
    <w:rsid w:val="00BB5F55"/>
    <w:rsid w:val="00BC1721"/>
    <w:rsid w:val="00BE4FFA"/>
    <w:rsid w:val="00BE6C7E"/>
    <w:rsid w:val="00C24D58"/>
    <w:rsid w:val="00C24EB1"/>
    <w:rsid w:val="00C26B4C"/>
    <w:rsid w:val="00C36FC8"/>
    <w:rsid w:val="00C4658F"/>
    <w:rsid w:val="00C54206"/>
    <w:rsid w:val="00C733C5"/>
    <w:rsid w:val="00D25259"/>
    <w:rsid w:val="00DA66E0"/>
    <w:rsid w:val="00DA7B63"/>
    <w:rsid w:val="00DD45A4"/>
    <w:rsid w:val="00E12D8C"/>
    <w:rsid w:val="00E41ECC"/>
    <w:rsid w:val="00F23067"/>
    <w:rsid w:val="00F346D7"/>
    <w:rsid w:val="00F514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350"/>
  </w:style>
  <w:style w:type="paragraph" w:styleId="Footer">
    <w:name w:val="footer"/>
    <w:basedOn w:val="Normal"/>
    <w:link w:val="FooterChar"/>
    <w:uiPriority w:val="99"/>
    <w:unhideWhenUsed/>
    <w:rsid w:val="00A17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350"/>
  </w:style>
  <w:style w:type="character" w:styleId="Strong">
    <w:name w:val="Strong"/>
    <w:basedOn w:val="DefaultParagraphFont"/>
    <w:uiPriority w:val="22"/>
    <w:qFormat/>
    <w:rsid w:val="00BC1721"/>
    <w:rPr>
      <w:b/>
      <w:bCs/>
    </w:rPr>
  </w:style>
  <w:style w:type="character" w:styleId="Hyperlink">
    <w:name w:val="Hyperlink"/>
    <w:basedOn w:val="DefaultParagraphFont"/>
    <w:uiPriority w:val="99"/>
    <w:unhideWhenUsed/>
    <w:rsid w:val="000F5C0C"/>
    <w:rPr>
      <w:color w:val="0000FF" w:themeColor="hyperlink"/>
      <w:u w:val="single"/>
    </w:rPr>
  </w:style>
  <w:style w:type="character" w:styleId="FollowedHyperlink">
    <w:name w:val="FollowedHyperlink"/>
    <w:basedOn w:val="DefaultParagraphFont"/>
    <w:uiPriority w:val="99"/>
    <w:semiHidden/>
    <w:unhideWhenUsed/>
    <w:rsid w:val="008A07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350"/>
  </w:style>
  <w:style w:type="paragraph" w:styleId="Footer">
    <w:name w:val="footer"/>
    <w:basedOn w:val="Normal"/>
    <w:link w:val="FooterChar"/>
    <w:uiPriority w:val="99"/>
    <w:unhideWhenUsed/>
    <w:rsid w:val="00A17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350"/>
  </w:style>
  <w:style w:type="character" w:styleId="Strong">
    <w:name w:val="Strong"/>
    <w:basedOn w:val="DefaultParagraphFont"/>
    <w:uiPriority w:val="22"/>
    <w:qFormat/>
    <w:rsid w:val="00BC1721"/>
    <w:rPr>
      <w:b/>
      <w:bCs/>
    </w:rPr>
  </w:style>
  <w:style w:type="character" w:styleId="Hyperlink">
    <w:name w:val="Hyperlink"/>
    <w:basedOn w:val="DefaultParagraphFont"/>
    <w:uiPriority w:val="99"/>
    <w:unhideWhenUsed/>
    <w:rsid w:val="000F5C0C"/>
    <w:rPr>
      <w:color w:val="0000FF" w:themeColor="hyperlink"/>
      <w:u w:val="single"/>
    </w:rPr>
  </w:style>
  <w:style w:type="character" w:styleId="FollowedHyperlink">
    <w:name w:val="FollowedHyperlink"/>
    <w:basedOn w:val="DefaultParagraphFont"/>
    <w:uiPriority w:val="99"/>
    <w:semiHidden/>
    <w:unhideWhenUsed/>
    <w:rsid w:val="008A0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atech.edu/sites/default/files/documents/main/gc_notice_16-i_fixed_pric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olicies.gatech.edu/business-finance/project-close-out-grants-management-syste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ants.gatech.edu/files/FFP_PICertification_Form.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Simpson</dc:creator>
  <cp:lastModifiedBy>ybao6</cp:lastModifiedBy>
  <cp:revision>17</cp:revision>
  <cp:lastPrinted>2016-05-25T12:35:00Z</cp:lastPrinted>
  <dcterms:created xsi:type="dcterms:W3CDTF">2016-05-24T17:17:00Z</dcterms:created>
  <dcterms:modified xsi:type="dcterms:W3CDTF">2016-05-25T19:34:00Z</dcterms:modified>
</cp:coreProperties>
</file>